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0A3" w:rsidRDefault="00EE40A3" w:rsidP="00EE40A3">
      <w:pPr>
        <w:jc w:val="center"/>
        <w:rPr>
          <w:rFonts w:ascii="Trebuchet MS" w:hAnsi="Trebuchet MS"/>
          <w:b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54D03386" wp14:editId="52556E53">
            <wp:simplePos x="0" y="0"/>
            <wp:positionH relativeFrom="column">
              <wp:posOffset>1210310</wp:posOffset>
            </wp:positionH>
            <wp:positionV relativeFrom="paragraph">
              <wp:posOffset>-523240</wp:posOffset>
            </wp:positionV>
            <wp:extent cx="3524250" cy="685800"/>
            <wp:effectExtent l="0" t="0" r="0" b="0"/>
            <wp:wrapNone/>
            <wp:docPr id="1" name="Picture 1" descr="Central logo_daily u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tral logo_daily us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E40A3" w:rsidRPr="00CC3C06" w:rsidRDefault="00EE40A3" w:rsidP="00EE40A3">
      <w:pPr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sz w:val="28"/>
        </w:rPr>
        <w:t>Program CENTRAL EUROPE 2020</w:t>
      </w:r>
    </w:p>
    <w:p w:rsidR="00EE40A3" w:rsidRDefault="00EE40A3" w:rsidP="00EE40A3">
      <w:pPr>
        <w:jc w:val="center"/>
        <w:rPr>
          <w:rFonts w:ascii="Trebuchet MS" w:hAnsi="Trebuchet MS"/>
          <w:b/>
          <w:sz w:val="22"/>
        </w:rPr>
      </w:pPr>
      <w:r>
        <w:rPr>
          <w:rFonts w:ascii="Trebuchet MS" w:hAnsi="Trebuchet MS"/>
          <w:b/>
          <w:sz w:val="22"/>
        </w:rPr>
        <w:t>Příloha č. 1: Bibliografie</w:t>
      </w:r>
    </w:p>
    <w:p w:rsidR="00915302" w:rsidRPr="00915302" w:rsidRDefault="00915302" w:rsidP="00915302">
      <w:pPr>
        <w:spacing w:after="120" w:line="260" w:lineRule="atLeast"/>
        <w:rPr>
          <w:rFonts w:ascii="Trebuchet MS" w:hAnsi="Trebuchet MS"/>
        </w:rPr>
      </w:pPr>
    </w:p>
    <w:p w:rsidR="00DD220B" w:rsidRPr="00915302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Blais, E.; Liepa, B. (2012): What are macro-regions all about? INTERACT.URL: http://www.interact-eu.net/downloads/4788/Newsletter%2520%257C%2520January%25202012%2520%257C%2520Full%2520Edition.pdf (20/06/2012).</w:t>
      </w:r>
    </w:p>
    <w:p w:rsidR="009B2874" w:rsidRPr="00EE40A3" w:rsidRDefault="009B2874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PROGRAM CENTRAL EUROPE (2013): PROGRAM CENTRAL EUROPE 2020, Hlavní vstupy shromážděné prostřednictvím dialogů s partnery, shrnutí, říjen 2013.</w:t>
      </w:r>
    </w:p>
    <w:p w:rsidR="00391BE0" w:rsidRPr="00EE40A3" w:rsidRDefault="00391BE0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Komise Evropských společenství (2008): Pracovní dokument útvarů Komise, Regiony 2020, Posouzení budoucích výzev pro regiony EU, SEK(2008), září 2008.</w:t>
      </w:r>
    </w:p>
    <w:p w:rsidR="00AF0216" w:rsidRPr="00EE40A3" w:rsidRDefault="00AF0216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Komise Evropských společenství (2009): Sdělení Komise Evropskému parlamentu, Radě, Evropskému hospodářskému a sociálnímu výboru a Výboru regionů, Začleňování udržitelného rozvoje do politik EU: Přezkum strategie Evropské unie pro udržitelný rozvoj za rok 2009, KOM(2009) 400 v konečném znění</w:t>
      </w:r>
    </w:p>
    <w:p w:rsidR="00AA31A7" w:rsidRPr="00EE40A3" w:rsidRDefault="00AA31A7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Komise Evropských společenství (2011): Pracovní dokument útvarů Komise: Nová politika transevropských dopravních sítí — Plánování a provádění, SEK(2011) 101 v konečném znění</w:t>
      </w:r>
    </w:p>
    <w:p w:rsidR="00F67C72" w:rsidRPr="00EE40A3" w:rsidRDefault="00F67C72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Směrnice Rady 92/43/EHS ze dne 21. května 1992 o ochraně přírodních stanovišť, volně žijících živočichů a planě rostoucích rostlin</w:t>
      </w:r>
    </w:p>
    <w:p w:rsidR="00EC0A8B" w:rsidRDefault="00EC0A8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Směrnice Evropského parlamentu a Rady 2001/42/ES ze dne 27. června 2001 o posuzování vlivů některých plánů a programů na životní prostředí</w:t>
      </w:r>
    </w:p>
    <w:p w:rsidR="00F67C72" w:rsidRPr="00EE40A3" w:rsidRDefault="00F67C72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Směrnice Evropského parlamentu a Rady 2009/147/ES ze dne 30. listopadu 2009 o ochraně volně žijících ptáků</w:t>
      </w:r>
    </w:p>
    <w:p w:rsidR="00FF7DEA" w:rsidRPr="00EE40A3" w:rsidRDefault="00FF7DEA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Dühr, S. (2011): Baltic Sea, Danube and Macro-regional Strategies: A Model for Transnational Cooperation in the EU?, Notre Europe, September 2011</w:t>
      </w:r>
    </w:p>
    <w:p w:rsidR="00433C93" w:rsidRPr="00EE40A3" w:rsidRDefault="00433C93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ESPON (2006), ESPON project 3.2: Spatial Scenarios and Orientations in relation to the ESDP and Cohesion Policy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ESPON (2009): Trends in Accessibility. Territorial Observation: Territorial Dynamics in Europe.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ESPON (2010): Applied Research 2013/1/5. ReRisk. Regions at Risk of Energy Poverty</w:t>
      </w:r>
    </w:p>
    <w:p w:rsidR="00142C38" w:rsidRPr="00EC2623" w:rsidRDefault="00142C38" w:rsidP="00915302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Evropská komise (2003): Zelená kniha: Podnikání v Evropě; KOM(2003) 27 v konečném znění</w:t>
      </w:r>
    </w:p>
    <w:p w:rsidR="0078713A" w:rsidRDefault="00EC2623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Evropská komise (2005): Integrované řízení ochrany životního prostředí, metodické pokyny týkající se tematické strategie pro městské životní prostředí</w:t>
      </w:r>
    </w:p>
    <w:p w:rsidR="0078713A" w:rsidRDefault="00AA31A7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 xml:space="preserve">Evropská komise (2006a): Sdělení Komise Radě a Evropskému parlamentu o tematické strategii pro městské životní prostředí {SEC(2006)16}/* KOM/2005/0718 v konečném znění  </w:t>
      </w:r>
    </w:p>
    <w:p w:rsidR="00433C93" w:rsidRPr="00EE40A3" w:rsidRDefault="00433C93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Evropská komise (2006b): SCENAR 2020 - Scenario study on agriculture and the rural world</w:t>
      </w:r>
    </w:p>
    <w:p w:rsidR="00243A63" w:rsidRDefault="00243A63" w:rsidP="00243A6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Evropská komise (2010): SDĚLENÍ KOMISE, EVROPA 2020 Strategie pro inteligentní a udržitelný růst podporující začlenění (KOM(2010) 2020 v konečném znění</w:t>
      </w:r>
    </w:p>
    <w:p w:rsidR="00776BAA" w:rsidRPr="00EE40A3" w:rsidRDefault="00776BAA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Evropská komise (2010): Sdělení Komise Evropskému parlamentu, Radě, Evropskému hospodářskému a sociálnímu výboru a Výboru regionů:  Strategie Evropské unie pro Podunají KOM(2010) 715 v konečném znění</w:t>
      </w:r>
    </w:p>
    <w:p w:rsidR="00367DA0" w:rsidRPr="00EE40A3" w:rsidRDefault="00367DA0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Evropská komise (2011a): Zpráva Komise Evropskému parlamentu, Radě, Evropskému hospodářskému a sociálnímu výboru a Výboru regionů o implementaci strategie EU pro region Baltského moře (EUSBSR), KOM(2011) 381 v konečném znění</w:t>
      </w:r>
    </w:p>
    <w:p w:rsidR="00316DEB" w:rsidRPr="00EC0A8B" w:rsidRDefault="005118BA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Evropská komise (2011b): Demografická zpráva 2010 — Starší, početnější a různorodější Evropané; pracovní dokument útvarů Komise, březen 2011.</w:t>
      </w:r>
    </w:p>
    <w:p w:rsidR="004B012F" w:rsidRPr="00EC0A8B" w:rsidRDefault="004B012F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Evropská komise (2011c): Návrh nařízení Evropského parlamentu a Rady o opatřeních Unie na rozvoj transevropské sítě KOM(2011) 650 v konečném znění/2).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 xml:space="preserve">Evropská komise (2012b): Stanovisko útvarů Komise k vývoji v oblasti Dohody o partnerství a programů v Rakousku pro období 2014–2020. 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 xml:space="preserve">Evropská komise (2012c): Stanovisko útvarů Komise k vývoji v oblasti Dohody o partnerství a programů v České republice pro období 2014–2020. 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 xml:space="preserve">Evropská komise (2012d): Stanovisko útvarů Komise k vývoji v oblasti Dohody o partnerství a programů v Německu pro období 2014–2020. 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 xml:space="preserve">Evropská komise (2012e): Stanovisko útvarů Komise k vývoji v oblasti Dohody o partnerství a programů v Chorvatské republice pro období 2014–2020. 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 xml:space="preserve">Evropská komise (2012f): Stanovisko útvarů Komise k vývoji v oblasti Dohody o partnerství a programů v Maďarsku pro období 2014–2020. 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 xml:space="preserve">Evropská komise (2012g): Stanovisko útvarů Komise k vývoji v oblasti Dohody o partnerství a programů v Itálii pro období 2014–2020. 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 xml:space="preserve">Evropská komise (2012h): Stanovisko útvarů Komise k vývoji v oblasti Dohody o partnerství a programů v Polsku pro období 2014–2020. 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 xml:space="preserve">Evropská komise (2012i): Stanovisko útvarů Komise k vývoji v oblasti Dohody o partnerství a programů ve Slovinsku pro období 2014–2020. </w:t>
      </w:r>
    </w:p>
    <w:p w:rsidR="004D3FFE" w:rsidRDefault="004D3FFE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Evropská komise (2012j): příručka Získávání podnikatelského způsobu myšlení a dovedností v EU, Generální ředitelství Podniky a průmysl).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Evropská komise (2013a): Strategie pro přímořské oblasti: Jaderské a Jónské moře. URL: http://ec.europa.eu/maritimeaffairs/policy/sea_basins/adriatic_ionian/index_en.htm (04.03.2013)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Evropská komise, Generální ředitelství Výzkum a inovace (2013b): Prostředí: Kulturní dědictví. URL: http://ec.europa.eu/research/environment/index_en.cfm?pg=cultural (24.04.2013)</w:t>
      </w:r>
    </w:p>
    <w:p w:rsidR="00C60578" w:rsidRPr="00EE40A3" w:rsidRDefault="00C60578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Evropská komise (2013c): Sdělení Komise Evropskému parlamentu, Radě, Evropskému hospodářskému a sociálnímu výboru a Výboru regionů, Strategii EU pro přizpůsobení se změně klimatu KOM(2013) 216 v konečném znění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Evropská unie (2010): Investice do budoucnosti Evropy. Pátá zpráva Komise o hospodářské, sociální a územní soudržnosti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Eurostat (2011a): Ukazatele pro energii, dopravu a životní prostředí, vydání 2012.</w:t>
      </w:r>
    </w:p>
    <w:p w:rsidR="00DD220B" w:rsidRPr="00EC0A8B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Eurostat (2011b): Regionální ročenka Eurostatu 2011, EU 2011.</w:t>
      </w:r>
    </w:p>
    <w:p w:rsidR="00A64F87" w:rsidRPr="00A64F87" w:rsidRDefault="00A64F87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Mezinárodní svaz ochrany přírody /IUCN/ (2011): Definice IUCN, http://cmsdata.iucn.org/downloads/en_iucn__glossary_definitions.pdf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IPCC, online (2012): Některé hlavní rysy klimatických scénářů pro Evropu. URL: http://www.ipcc.ch/ipccreports/tar/wg2/index.php?idp=495 (09/07/2012)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Komobile (2013): Sustainable public transport and logistics in the CENTRAL EUROPE Programme. Vienna.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Mercer (2013): Žebříček 50 světových měst: Srovnání dle kvality života. URL: http://www.mercer.com/qualityoflivingpr#city-rankings (25/09/2013)</w:t>
      </w:r>
    </w:p>
    <w:p w:rsidR="0058410C" w:rsidRDefault="0058410C" w:rsidP="00915302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lastRenderedPageBreak/>
        <w:t>Murray, Calulier-Grice and Mulgan (2010): Open Book of Social Innovation, March 2010</w:t>
      </w:r>
    </w:p>
    <w:p w:rsidR="00CD16A9" w:rsidRDefault="00CD16A9" w:rsidP="00915302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OECD (2003): Glosář statistických pojmů, http://stats.oecd.org/glossary/</w:t>
      </w:r>
    </w:p>
    <w:p w:rsidR="0058410C" w:rsidRPr="00915302" w:rsidRDefault="00142C38" w:rsidP="00915302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OECD (2005): Oslo Manual: guidelines for collecting and interpreting innovation data; Third edition, 2005</w:t>
      </w:r>
    </w:p>
    <w:p w:rsidR="00D017F6" w:rsidRDefault="00D017F6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OECD (2011): Workforce skills and innovation: an overview of major themes in the literature, Directorate for Science, Technology and Industry (STI), Centre for Educational Research and Innovation (CERI)</w:t>
      </w:r>
    </w:p>
    <w:p w:rsidR="00DD220B" w:rsidRPr="00EE40A3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 xml:space="preserve">OECD (2013): Definice funkčních městských oblastí pro metropolitní databázi OECD. URL: http:// http://www.oecd.org/gov/regional-policy/Definition-of-Functional-Urban-Areas-for-the-OECD-metropolitan-database.pdf </w:t>
      </w:r>
    </w:p>
    <w:p w:rsidR="00C33018" w:rsidRDefault="00DD220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ÖIR a kol. (2011): Regionální výzvy v perspektivě roku 2020 – Fáze 2: Deepening and Broadening the Analysis; research study Commissioned by European Commission, Directorate General for Regional Policy, Unit C1 Conception, forward studies, impact assessment; Vienna/Heisdorf/Bonn.</w:t>
      </w:r>
    </w:p>
    <w:p w:rsidR="00E44265" w:rsidRDefault="00E44265" w:rsidP="00E44265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 xml:space="preserve">ÖIR </w:t>
      </w:r>
      <w:r w:rsidR="001961C6">
        <w:rPr>
          <w:rFonts w:ascii="Trebuchet MS" w:hAnsi="Trebuchet MS"/>
        </w:rPr>
        <w:t>a kol</w:t>
      </w:r>
      <w:bookmarkStart w:id="0" w:name="_GoBack"/>
      <w:bookmarkEnd w:id="0"/>
      <w:r>
        <w:rPr>
          <w:rFonts w:ascii="Trebuchet MS" w:hAnsi="Trebuchet MS"/>
        </w:rPr>
        <w:t>. (2012): CENTRAL EUROPE PROGRAMME, Results of the regional analysis, Document analysis, online survey, interviews, SWOT, September 2012</w:t>
      </w:r>
    </w:p>
    <w:p w:rsidR="00DC07D0" w:rsidRDefault="00DC07D0" w:rsidP="00DC07D0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ÖIR (2013): CENTRAL EUROPE PROGRAMME 2020, Main inputs collected through partner dialogues, Summary</w:t>
      </w:r>
    </w:p>
    <w:p w:rsidR="004665FE" w:rsidRDefault="004665FE" w:rsidP="004665FE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Pierre, Jon (2000): Debating Governance: Authority, Steering, and Democracy, Oxford University Press, 2000.</w:t>
      </w:r>
    </w:p>
    <w:p w:rsidR="005258C9" w:rsidRDefault="005258C9" w:rsidP="005258C9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NAŘÍZENÍ EVROPSKÉHO PARLAMENTU A RADY (EU) č. 1299/2013 ze dne 17. prosince 2013 o zvláštních ustanoveních týkajících se podpory z Evropského fondu pro regionální rozvoj pro cíl Evropská územní spolupráce</w:t>
      </w:r>
    </w:p>
    <w:p w:rsidR="00EC0A8B" w:rsidRDefault="00EC0A8B" w:rsidP="00EC0A8B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NAŘÍZENÍ EVROPSKÉHO PARLAMENTU A RADY (EU) č. 1301/2013 ze dne 17. prosince 2013 o Evropském fondu pro regionální rozvoj, o zvláštních ustanoveních týkajících se cíle Investice pro růst a zaměstnanost a o zrušení nařízení (ES) č. 1080/2006</w:t>
      </w:r>
    </w:p>
    <w:p w:rsidR="00EC0A8B" w:rsidRDefault="00EC0A8B" w:rsidP="00EC0A8B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NAŘÍZENÍ EVROPSKÉHO PARLAMENTU A RADY (EU) č. 1303/2013 ze dne 17. prosince 2013 o společných ustanoveních o Evropském fondu pro regionální rozvoj, Evropském sociálním fondu, Fondu soudržnosti, Evropském zemědělském fondu pro rozvoj venkova a Evropském námořním a rybářském fondu, o obecných ustanoveních o Evropském fondu pro regionální rozvoj, Evropském sociálním fondu, Fondu soudržnosti a Evropském námořním a rybářském fondu a o zrušení nařízení Rady (ES) č. 1083/2006</w:t>
      </w:r>
    </w:p>
    <w:p w:rsidR="0064306C" w:rsidRPr="0064306C" w:rsidRDefault="0064306C" w:rsidP="0064306C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Státy a regiony alpského regionu (2013): Intervenční dokument požadující zavedení strategie EU pro alpský region, Grenoble</w:t>
      </w:r>
    </w:p>
    <w:p w:rsidR="0025689B" w:rsidRPr="00F23CC9" w:rsidRDefault="0025689B" w:rsidP="00915302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Územní agenda Evropské unie 2020: K inkluzivní, inteligentní a udržitelné Evropě rozmanitých regionů (2011), dohodnuto na neformálním setkání ministrů odpovědných za územní plánování a rozvoj dne 19. května 2011 v Gödöllő, Maďarsko</w:t>
      </w:r>
    </w:p>
    <w:p w:rsidR="0081654F" w:rsidRPr="00884A41" w:rsidRDefault="0081654F" w:rsidP="00884A41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 xml:space="preserve">UNESCO (2003): Úmluva o zachování nehmotného kulturního dědictví </w:t>
      </w:r>
    </w:p>
    <w:p w:rsidR="0025689B" w:rsidRDefault="00E26C3C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UNESCO (2009): Measuring innovation; Training workshop on science, technology and innovation indicators, 2009</w:t>
      </w:r>
    </w:p>
    <w:p w:rsidR="00662AF4" w:rsidRDefault="00662AF4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 xml:space="preserve">UNISDR (2009): Terminologie, </w:t>
      </w:r>
      <w:hyperlink r:id="rId8">
        <w:r>
          <w:t>http://www.unisdr.org/we/inform/terminology</w:t>
        </w:r>
      </w:hyperlink>
      <w:r>
        <w:rPr>
          <w:rFonts w:ascii="Trebuchet MS" w:hAnsi="Trebuchet MS"/>
        </w:rPr>
        <w:t xml:space="preserve"> </w:t>
      </w:r>
    </w:p>
    <w:p w:rsidR="007555C5" w:rsidRPr="004B012F" w:rsidRDefault="007555C5" w:rsidP="00915302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 xml:space="preserve">Pracovní skupina expertů členských států EU (otevřený způsob koordinace) pro kulturní a kreativní odvětví (2012): Manuál politiky, Jak strategicky využít podpůrné programy EU včetně Strukturálních fondů k posílení kultury místního, regionálního a celostátního rozvoje a k přelévání těchto účinků na širší ekonomiku? </w:t>
      </w:r>
    </w:p>
    <w:p w:rsidR="00F54C9B" w:rsidRDefault="00F54C9B" w:rsidP="00EE40A3">
      <w:pPr>
        <w:spacing w:after="120" w:line="260" w:lineRule="atLeast"/>
        <w:rPr>
          <w:rFonts w:ascii="Trebuchet MS" w:hAnsi="Trebuchet MS"/>
        </w:rPr>
      </w:pPr>
      <w:r>
        <w:rPr>
          <w:rFonts w:ascii="Trebuchet MS" w:hAnsi="Trebuchet MS"/>
        </w:rPr>
        <w:t>Světový energetický výbor /WEC/ (2008): Světové politiky ke zvýšení energetické účinnosti: Revize a evaluace, leden 2008</w:t>
      </w:r>
    </w:p>
    <w:sectPr w:rsidR="00F54C9B" w:rsidSect="00EE40A3"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F1A" w:rsidRDefault="00F51F1A" w:rsidP="002F1E75">
      <w:pPr>
        <w:spacing w:after="0" w:line="240" w:lineRule="auto"/>
      </w:pPr>
      <w:r>
        <w:separator/>
      </w:r>
    </w:p>
  </w:endnote>
  <w:endnote w:type="continuationSeparator" w:id="0">
    <w:p w:rsidR="00F51F1A" w:rsidRDefault="00F51F1A" w:rsidP="002F1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644534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</w:rPr>
    </w:sdtEndPr>
    <w:sdtContent>
      <w:p w:rsidR="002F1E75" w:rsidRPr="00EE40A3" w:rsidRDefault="002F1E75">
        <w:pPr>
          <w:pStyle w:val="Zpat"/>
          <w:jc w:val="right"/>
          <w:rPr>
            <w:rFonts w:ascii="Trebuchet MS" w:hAnsi="Trebuchet MS"/>
            <w:sz w:val="18"/>
          </w:rPr>
        </w:pPr>
        <w:r w:rsidRPr="00EE40A3">
          <w:rPr>
            <w:rFonts w:ascii="Trebuchet MS" w:hAnsi="Trebuchet MS"/>
            <w:sz w:val="18"/>
          </w:rPr>
          <w:fldChar w:fldCharType="begin"/>
        </w:r>
        <w:r w:rsidRPr="00EE40A3">
          <w:rPr>
            <w:rFonts w:ascii="Trebuchet MS" w:hAnsi="Trebuchet MS"/>
            <w:sz w:val="18"/>
          </w:rPr>
          <w:instrText>PAGE   \* MERGEFORMAT</w:instrText>
        </w:r>
        <w:r w:rsidRPr="00EE40A3">
          <w:rPr>
            <w:rFonts w:ascii="Trebuchet MS" w:hAnsi="Trebuchet MS"/>
            <w:sz w:val="18"/>
          </w:rPr>
          <w:fldChar w:fldCharType="separate"/>
        </w:r>
        <w:r w:rsidR="001961C6">
          <w:rPr>
            <w:rFonts w:ascii="Trebuchet MS" w:hAnsi="Trebuchet MS"/>
            <w:noProof/>
            <w:sz w:val="18"/>
          </w:rPr>
          <w:t>2</w:t>
        </w:r>
        <w:r w:rsidRPr="00EE40A3">
          <w:rPr>
            <w:rFonts w:ascii="Trebuchet MS" w:hAnsi="Trebuchet MS"/>
            <w:sz w:val="18"/>
          </w:rPr>
          <w:fldChar w:fldCharType="end"/>
        </w:r>
      </w:p>
    </w:sdtContent>
  </w:sdt>
  <w:p w:rsidR="002F1E75" w:rsidRDefault="002F1E7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F1A" w:rsidRDefault="00F51F1A" w:rsidP="002F1E75">
      <w:pPr>
        <w:spacing w:after="0" w:line="240" w:lineRule="auto"/>
      </w:pPr>
      <w:r>
        <w:separator/>
      </w:r>
    </w:p>
  </w:footnote>
  <w:footnote w:type="continuationSeparator" w:id="0">
    <w:p w:rsidR="00F51F1A" w:rsidRDefault="00F51F1A" w:rsidP="002F1E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7A521F"/>
    <w:multiLevelType w:val="multilevel"/>
    <w:tmpl w:val="431CD876"/>
    <w:lvl w:ilvl="0">
      <w:start w:val="1"/>
      <w:numFmt w:val="decimal"/>
      <w:pStyle w:val="Nadpis1"/>
      <w:lvlText w:val="Section 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C9"/>
    <w:rsid w:val="00034831"/>
    <w:rsid w:val="00142C38"/>
    <w:rsid w:val="001961C6"/>
    <w:rsid w:val="001D6300"/>
    <w:rsid w:val="00243A63"/>
    <w:rsid w:val="0025689B"/>
    <w:rsid w:val="002F1E75"/>
    <w:rsid w:val="00302967"/>
    <w:rsid w:val="00316DEB"/>
    <w:rsid w:val="00367DA0"/>
    <w:rsid w:val="00376A3A"/>
    <w:rsid w:val="00391BE0"/>
    <w:rsid w:val="00395A74"/>
    <w:rsid w:val="00433C93"/>
    <w:rsid w:val="004665FE"/>
    <w:rsid w:val="00470E11"/>
    <w:rsid w:val="00494AA1"/>
    <w:rsid w:val="004B012F"/>
    <w:rsid w:val="004D3FFE"/>
    <w:rsid w:val="005118BA"/>
    <w:rsid w:val="005258C9"/>
    <w:rsid w:val="0058410C"/>
    <w:rsid w:val="005D4E82"/>
    <w:rsid w:val="00620F4E"/>
    <w:rsid w:val="0064306C"/>
    <w:rsid w:val="00662AF4"/>
    <w:rsid w:val="006A080A"/>
    <w:rsid w:val="007555C5"/>
    <w:rsid w:val="00776BAA"/>
    <w:rsid w:val="0078713A"/>
    <w:rsid w:val="007D25C5"/>
    <w:rsid w:val="0081654F"/>
    <w:rsid w:val="00884A41"/>
    <w:rsid w:val="008E2210"/>
    <w:rsid w:val="00915302"/>
    <w:rsid w:val="00921C61"/>
    <w:rsid w:val="00987ED5"/>
    <w:rsid w:val="009B05E1"/>
    <w:rsid w:val="009B2874"/>
    <w:rsid w:val="00A64F87"/>
    <w:rsid w:val="00A74A73"/>
    <w:rsid w:val="00A80C01"/>
    <w:rsid w:val="00AA31A7"/>
    <w:rsid w:val="00AF0216"/>
    <w:rsid w:val="00B0162C"/>
    <w:rsid w:val="00B3382B"/>
    <w:rsid w:val="00B45489"/>
    <w:rsid w:val="00B85E22"/>
    <w:rsid w:val="00C33018"/>
    <w:rsid w:val="00C60578"/>
    <w:rsid w:val="00CC3C06"/>
    <w:rsid w:val="00CD16A9"/>
    <w:rsid w:val="00D017F6"/>
    <w:rsid w:val="00D21624"/>
    <w:rsid w:val="00D34829"/>
    <w:rsid w:val="00D67A10"/>
    <w:rsid w:val="00DC07D0"/>
    <w:rsid w:val="00DC1332"/>
    <w:rsid w:val="00DD220B"/>
    <w:rsid w:val="00E26C3C"/>
    <w:rsid w:val="00E31A5D"/>
    <w:rsid w:val="00E44265"/>
    <w:rsid w:val="00E67684"/>
    <w:rsid w:val="00E81F0B"/>
    <w:rsid w:val="00EC0A8B"/>
    <w:rsid w:val="00EC2623"/>
    <w:rsid w:val="00EE40A3"/>
    <w:rsid w:val="00F23CC9"/>
    <w:rsid w:val="00F34FB2"/>
    <w:rsid w:val="00F51F1A"/>
    <w:rsid w:val="00F54C9B"/>
    <w:rsid w:val="00F67C72"/>
    <w:rsid w:val="00F86D1C"/>
    <w:rsid w:val="00FF23BB"/>
    <w:rsid w:val="00FF7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3C09F6-577C-44A5-8805-A053179E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cs-CZ" w:bidi="cs-CZ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3CC9"/>
    <w:pPr>
      <w:spacing w:after="240" w:line="280" w:lineRule="atLeast"/>
      <w:jc w:val="both"/>
    </w:pPr>
    <w:rPr>
      <w:rFonts w:ascii="Arial" w:eastAsia="Times New Roman" w:hAnsi="Arial" w:cs="Times New Roman"/>
      <w:sz w:val="20"/>
      <w:szCs w:val="20"/>
    </w:rPr>
  </w:style>
  <w:style w:type="paragraph" w:styleId="Nadpis1">
    <w:name w:val="heading 1"/>
    <w:basedOn w:val="Normln"/>
    <w:next w:val="Normln"/>
    <w:link w:val="Nadpis1Char"/>
    <w:qFormat/>
    <w:rsid w:val="00F23CC9"/>
    <w:pPr>
      <w:keepNext/>
      <w:pageBreakBefore/>
      <w:numPr>
        <w:numId w:val="1"/>
      </w:numPr>
      <w:tabs>
        <w:tab w:val="left" w:pos="1418"/>
      </w:tabs>
      <w:spacing w:after="420"/>
      <w:ind w:left="1418" w:hanging="1418"/>
      <w:jc w:val="left"/>
      <w:outlineLvl w:val="0"/>
    </w:pPr>
    <w:rPr>
      <w:rFonts w:ascii="Arial Narrow" w:hAnsi="Arial Narrow" w:cs="Arial"/>
      <w:color w:val="0060A9"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F23CC9"/>
    <w:pPr>
      <w:keepNext/>
      <w:numPr>
        <w:ilvl w:val="1"/>
        <w:numId w:val="1"/>
      </w:numPr>
      <w:tabs>
        <w:tab w:val="left" w:pos="709"/>
      </w:tabs>
      <w:spacing w:before="480"/>
      <w:ind w:left="709" w:hanging="709"/>
      <w:jc w:val="left"/>
      <w:outlineLvl w:val="1"/>
    </w:pPr>
    <w:rPr>
      <w:rFonts w:ascii="Arial Narrow" w:hAnsi="Arial Narrow"/>
      <w:snapToGrid w:val="0"/>
      <w:sz w:val="28"/>
    </w:rPr>
  </w:style>
  <w:style w:type="paragraph" w:styleId="Nadpis3">
    <w:name w:val="heading 3"/>
    <w:basedOn w:val="Normln"/>
    <w:next w:val="Normln"/>
    <w:link w:val="Nadpis3Char"/>
    <w:qFormat/>
    <w:rsid w:val="00F23CC9"/>
    <w:pPr>
      <w:keepNext/>
      <w:numPr>
        <w:ilvl w:val="2"/>
        <w:numId w:val="1"/>
      </w:numPr>
      <w:tabs>
        <w:tab w:val="left" w:pos="709"/>
      </w:tabs>
      <w:spacing w:before="400"/>
      <w:ind w:left="709" w:hanging="709"/>
      <w:jc w:val="left"/>
      <w:outlineLvl w:val="2"/>
    </w:pPr>
    <w:rPr>
      <w:rFonts w:ascii="Arial Narrow" w:hAnsi="Arial Narrow"/>
      <w:sz w:val="26"/>
    </w:rPr>
  </w:style>
  <w:style w:type="paragraph" w:styleId="Nadpis4">
    <w:name w:val="heading 4"/>
    <w:basedOn w:val="Normln"/>
    <w:next w:val="Normln"/>
    <w:link w:val="Nadpis4Char"/>
    <w:qFormat/>
    <w:rsid w:val="00F23CC9"/>
    <w:pPr>
      <w:keepNext/>
      <w:numPr>
        <w:ilvl w:val="3"/>
        <w:numId w:val="1"/>
      </w:numPr>
      <w:spacing w:before="240" w:line="240" w:lineRule="auto"/>
      <w:ind w:left="709" w:hanging="709"/>
      <w:jc w:val="left"/>
      <w:outlineLvl w:val="3"/>
    </w:pPr>
    <w:rPr>
      <w:rFonts w:ascii="Arial Narrow" w:hAnsi="Arial Narrow"/>
      <w:sz w:val="24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F23CC9"/>
    <w:rPr>
      <w:rFonts w:ascii="Arial Narrow" w:eastAsia="Times New Roman" w:hAnsi="Arial Narrow" w:cs="Arial"/>
      <w:color w:val="0060A9"/>
      <w:kern w:val="32"/>
      <w:sz w:val="32"/>
      <w:szCs w:val="32"/>
      <w:lang w:val="cs-CZ" w:eastAsia="cs-CZ"/>
    </w:rPr>
  </w:style>
  <w:style w:type="character" w:customStyle="1" w:styleId="Nadpis2Char">
    <w:name w:val="Nadpis 2 Char"/>
    <w:basedOn w:val="Standardnpsmoodstavce"/>
    <w:link w:val="Nadpis2"/>
    <w:rsid w:val="00F23CC9"/>
    <w:rPr>
      <w:rFonts w:ascii="Arial Narrow" w:eastAsia="Times New Roman" w:hAnsi="Arial Narrow" w:cs="Times New Roman"/>
      <w:snapToGrid w:val="0"/>
      <w:sz w:val="28"/>
      <w:szCs w:val="20"/>
      <w:lang w:val="cs-CZ" w:eastAsia="cs-CZ"/>
    </w:rPr>
  </w:style>
  <w:style w:type="character" w:customStyle="1" w:styleId="Nadpis3Char">
    <w:name w:val="Nadpis 3 Char"/>
    <w:basedOn w:val="Standardnpsmoodstavce"/>
    <w:link w:val="Nadpis3"/>
    <w:rsid w:val="00F23CC9"/>
    <w:rPr>
      <w:rFonts w:ascii="Arial Narrow" w:eastAsia="Times New Roman" w:hAnsi="Arial Narrow" w:cs="Times New Roman"/>
      <w:sz w:val="26"/>
      <w:szCs w:val="20"/>
      <w:lang w:val="cs-CZ" w:eastAsia="cs-CZ"/>
    </w:rPr>
  </w:style>
  <w:style w:type="character" w:customStyle="1" w:styleId="Nadpis4Char">
    <w:name w:val="Nadpis 4 Char"/>
    <w:basedOn w:val="Standardnpsmoodstavce"/>
    <w:link w:val="Nadpis4"/>
    <w:rsid w:val="00F23CC9"/>
    <w:rPr>
      <w:rFonts w:ascii="Arial Narrow" w:eastAsia="Times New Roman" w:hAnsi="Arial Narrow" w:cs="Times New Roman"/>
      <w:sz w:val="24"/>
      <w:szCs w:val="28"/>
      <w:lang w:val="cs-CZ"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6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6DEB"/>
    <w:rPr>
      <w:rFonts w:ascii="Tahoma" w:eastAsia="Times New Roman" w:hAnsi="Tahoma" w:cs="Tahoma"/>
      <w:sz w:val="16"/>
      <w:szCs w:val="16"/>
      <w:lang w:val="cs-CZ"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316DE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6DEB"/>
    <w:pPr>
      <w:spacing w:line="240" w:lineRule="auto"/>
    </w:p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6DEB"/>
    <w:rPr>
      <w:rFonts w:ascii="Arial" w:eastAsia="Times New Roman" w:hAnsi="Arial" w:cs="Times New Roman"/>
      <w:sz w:val="20"/>
      <w:szCs w:val="20"/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6DE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6DEB"/>
    <w:rPr>
      <w:rFonts w:ascii="Arial" w:eastAsia="Times New Roman" w:hAnsi="Arial" w:cs="Times New Roman"/>
      <w:b/>
      <w:bCs/>
      <w:sz w:val="20"/>
      <w:szCs w:val="20"/>
      <w:lang w:val="cs-CZ" w:eastAsia="cs-CZ"/>
    </w:rPr>
  </w:style>
  <w:style w:type="character" w:styleId="Hypertextovodkaz">
    <w:name w:val="Hyperlink"/>
    <w:basedOn w:val="Standardnpsmoodstavce"/>
    <w:uiPriority w:val="99"/>
    <w:unhideWhenUsed/>
    <w:rsid w:val="00FF23B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2F1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1E75"/>
    <w:rPr>
      <w:rFonts w:ascii="Arial" w:eastAsia="Times New Roman" w:hAnsi="Arial" w:cs="Times New Roman"/>
      <w:sz w:val="20"/>
      <w:szCs w:val="20"/>
      <w:lang w:val="cs-CZ" w:eastAsia="cs-CZ"/>
    </w:rPr>
  </w:style>
  <w:style w:type="paragraph" w:styleId="Zpat">
    <w:name w:val="footer"/>
    <w:basedOn w:val="Normln"/>
    <w:link w:val="ZpatChar"/>
    <w:uiPriority w:val="99"/>
    <w:unhideWhenUsed/>
    <w:rsid w:val="002F1E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1E75"/>
    <w:rPr>
      <w:rFonts w:ascii="Arial" w:eastAsia="Times New Roman" w:hAnsi="Arial" w:cs="Times New Roman"/>
      <w:sz w:val="20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3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95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8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9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0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1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9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sdr.org/we/inform/terminolog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1324</Words>
  <Characters>7817</Characters>
  <Application>Microsoft Office Word</Application>
  <DocSecurity>0</DocSecurity>
  <Lines>65</Lines>
  <Paragraphs>18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Schönerklee-Grasser Monika</dc:creator>
  <cp:lastModifiedBy>Roman Varga</cp:lastModifiedBy>
  <cp:revision>9</cp:revision>
  <cp:lastPrinted>2013-11-08T11:21:00Z</cp:lastPrinted>
  <dcterms:created xsi:type="dcterms:W3CDTF">2014-02-21T07:33:00Z</dcterms:created>
  <dcterms:modified xsi:type="dcterms:W3CDTF">2014-03-17T14:31:00Z</dcterms:modified>
</cp:coreProperties>
</file>